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8" w:type="dxa"/>
        <w:tblLook w:val="04A0"/>
      </w:tblPr>
      <w:tblGrid>
        <w:gridCol w:w="4928"/>
        <w:gridCol w:w="6480"/>
      </w:tblGrid>
      <w:tr w:rsidR="001418D8" w:rsidRPr="00511C87" w:rsidTr="00CE66C5">
        <w:tc>
          <w:tcPr>
            <w:tcW w:w="4928" w:type="dxa"/>
            <w:shd w:val="clear" w:color="auto" w:fill="auto"/>
            <w:hideMark/>
          </w:tcPr>
          <w:p w:rsidR="001418D8" w:rsidRPr="00511C87" w:rsidRDefault="001418D8" w:rsidP="00CE66C5">
            <w:pPr>
              <w:tabs>
                <w:tab w:val="left" w:pos="360"/>
                <w:tab w:val="left" w:pos="426"/>
              </w:tabs>
              <w:spacing w:before="120" w:after="120" w:line="360" w:lineRule="auto"/>
              <w:jc w:val="center"/>
              <w:rPr>
                <w:rFonts w:ascii="Times New Roman" w:hAnsi="Times New Roman"/>
                <w:color w:val="000000"/>
                <w:sz w:val="28"/>
                <w:szCs w:val="28"/>
              </w:rPr>
            </w:pPr>
            <w:r w:rsidRPr="00511C87">
              <w:rPr>
                <w:rFonts w:ascii="Times New Roman" w:hAnsi="Times New Roman"/>
                <w:color w:val="000000"/>
                <w:sz w:val="28"/>
                <w:szCs w:val="28"/>
              </w:rPr>
              <w:t>TRƯỜNG ĐẠI HỌC LUẬT TP HCM</w:t>
            </w:r>
          </w:p>
          <w:p w:rsidR="001418D8" w:rsidRPr="00511C87" w:rsidRDefault="001418D8" w:rsidP="00CE66C5">
            <w:pPr>
              <w:tabs>
                <w:tab w:val="left" w:pos="360"/>
                <w:tab w:val="left" w:pos="426"/>
              </w:tabs>
              <w:spacing w:before="120" w:after="120" w:line="360" w:lineRule="auto"/>
              <w:jc w:val="center"/>
              <w:rPr>
                <w:rFonts w:ascii="Times New Roman" w:hAnsi="Times New Roman"/>
                <w:b/>
                <w:color w:val="000000"/>
                <w:sz w:val="28"/>
                <w:szCs w:val="28"/>
                <w:u w:val="single"/>
              </w:rPr>
            </w:pPr>
            <w:r w:rsidRPr="00511C87">
              <w:rPr>
                <w:rFonts w:ascii="Times New Roman" w:hAnsi="Times New Roman"/>
                <w:b/>
                <w:color w:val="000000"/>
                <w:sz w:val="28"/>
                <w:szCs w:val="28"/>
                <w:u w:val="single"/>
              </w:rPr>
              <w:t>KHOA LUẬT HÀNH CHÍNH</w:t>
            </w:r>
          </w:p>
        </w:tc>
        <w:tc>
          <w:tcPr>
            <w:tcW w:w="6480" w:type="dxa"/>
            <w:shd w:val="clear" w:color="auto" w:fill="auto"/>
          </w:tcPr>
          <w:p w:rsidR="001418D8" w:rsidRPr="00511C87" w:rsidRDefault="001418D8" w:rsidP="00CE66C5">
            <w:pPr>
              <w:tabs>
                <w:tab w:val="left" w:pos="360"/>
                <w:tab w:val="left" w:pos="426"/>
              </w:tabs>
              <w:spacing w:before="120" w:after="120" w:line="360" w:lineRule="auto"/>
              <w:jc w:val="both"/>
              <w:rPr>
                <w:rFonts w:ascii="Times New Roman" w:hAnsi="Times New Roman"/>
                <w:color w:val="000000"/>
                <w:sz w:val="28"/>
                <w:szCs w:val="28"/>
              </w:rPr>
            </w:pPr>
          </w:p>
        </w:tc>
      </w:tr>
    </w:tbl>
    <w:p w:rsidR="001418D8" w:rsidRPr="00511C87" w:rsidRDefault="001418D8" w:rsidP="001418D8">
      <w:pPr>
        <w:tabs>
          <w:tab w:val="left" w:pos="360"/>
          <w:tab w:val="left" w:pos="426"/>
        </w:tabs>
        <w:spacing w:before="120" w:after="120" w:line="360" w:lineRule="auto"/>
        <w:jc w:val="center"/>
        <w:rPr>
          <w:rFonts w:ascii="Times New Roman" w:hAnsi="Times New Roman"/>
          <w:b/>
          <w:color w:val="000000"/>
          <w:sz w:val="28"/>
          <w:szCs w:val="28"/>
        </w:rPr>
      </w:pPr>
    </w:p>
    <w:p w:rsidR="001418D8" w:rsidRPr="00511C87" w:rsidRDefault="001418D8" w:rsidP="001418D8">
      <w:pPr>
        <w:tabs>
          <w:tab w:val="left" w:pos="360"/>
          <w:tab w:val="left" w:pos="426"/>
        </w:tabs>
        <w:spacing w:before="120" w:after="120" w:line="360" w:lineRule="auto"/>
        <w:jc w:val="center"/>
        <w:rPr>
          <w:rFonts w:ascii="Times New Roman" w:hAnsi="Times New Roman"/>
          <w:b/>
          <w:color w:val="000000"/>
          <w:sz w:val="28"/>
          <w:szCs w:val="28"/>
        </w:rPr>
      </w:pPr>
      <w:r w:rsidRPr="00511C87">
        <w:rPr>
          <w:rFonts w:ascii="Times New Roman" w:hAnsi="Times New Roman"/>
          <w:b/>
          <w:color w:val="000000"/>
          <w:sz w:val="28"/>
          <w:szCs w:val="28"/>
        </w:rPr>
        <w:t xml:space="preserve">ĐỀ TÀI NGHIÊN CỨU KHOA HỌC SINH VIÊN NĂM HỌC </w:t>
      </w:r>
      <w:r w:rsidR="007406BA" w:rsidRPr="00511C87">
        <w:rPr>
          <w:rFonts w:ascii="Times New Roman" w:hAnsi="Times New Roman"/>
          <w:b/>
          <w:color w:val="000000"/>
          <w:sz w:val="28"/>
          <w:szCs w:val="28"/>
        </w:rPr>
        <w:t>2020-2021</w:t>
      </w:r>
    </w:p>
    <w:p w:rsidR="001418D8" w:rsidRPr="00511C87" w:rsidRDefault="001418D8" w:rsidP="001418D8">
      <w:pPr>
        <w:tabs>
          <w:tab w:val="left" w:pos="426"/>
        </w:tabs>
        <w:spacing w:before="120" w:after="120" w:line="360" w:lineRule="auto"/>
        <w:jc w:val="center"/>
        <w:rPr>
          <w:rFonts w:ascii="Times New Roman" w:hAnsi="Times New Roman"/>
          <w:b/>
          <w:sz w:val="28"/>
          <w:szCs w:val="28"/>
        </w:rPr>
      </w:pPr>
      <w:r w:rsidRPr="00511C87">
        <w:rPr>
          <w:rFonts w:ascii="Times New Roman" w:hAnsi="Times New Roman"/>
          <w:b/>
          <w:sz w:val="28"/>
          <w:szCs w:val="28"/>
        </w:rPr>
        <w:t>HIẾN PHÁP</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Cơ chế bảo vệ Hiến pháp ở Việt Nam – bất cập và kiến nghị hoàn thiện.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 xml:space="preserve"> Cơ quan bảo hiến theo pháp luật một số quốc gia trên thế giới và kinh nghiệm tham khảo cho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Nguyên tắc công nhận, tôn trọng, bảo vệ, bảo đảm quyền con người, quyền công dân.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Nguyên tắc hạn chế quyền con người, quyền công dân.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Giải thích Hiến pháp ở một số quốc gia trên thế giới và kinh nghiệm tham khảo cho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Chế định Thẩm phán theo pháp luật một số quốc gia trên thế giới và kinh nghiệm tham khảo cho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Chế định Hội thẩm trong pháp luật Việt Nam – bất cập và kiến nghị hoàn thiện.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Thẩm quyền ban hành pháp lệnh của Ủy ban thường vụ Quốc hội ở Việt Nam – bất cập và kiến nghị hoàn thiện.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Quyền miễn trừ trách nhiệm của đại biểu Quốc hội theo pháp luật một số quốc gia trên thế giới và kinh nghiệm tham khảo cho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Quyền bất khả xâm phạm của đại biểu Quốc hội theo pháp luật một số quốc gia trên thế giới và kinh nghiệm tham khảo cho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Vấn đề trình dự án luật của Đại biểu Quốc hội – Những vấn đề lý luận và thực tiễn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lastRenderedPageBreak/>
        <w:t>Vấn đề bỏ phiếu tín nhiệm tại Quốc hội</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Vấn đề lấy phiếu tính nhiệm tại Quốc hội (hoặc Hội đồng nhân dân các cấp)</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Cơ chế bảo vệ Hiến pháp – Những vấn đề lý luận và thực tiễn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Trưng cầu ý dân về Hiến pháp, kinh nghiệm thế giới và kiến nghị cho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Vấn đề chất vấn của Đại biểu Quốc hội – Những vấn đề lý luận và thực tiễn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Vai trò phản biện xã hội của Mặt trận Tổ quốc Việt Nam – Những vấn đề lý luận và thực tiễn</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Vấn đề đổi mới mô hình tổ chức chính quyền địa phương ở Việt Nam</w:t>
      </w:r>
    </w:p>
    <w:p w:rsidR="007406BA"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 xml:space="preserve">Vấn đề đổi mới cơ quan chuyên môn thuộc Ủy ban nhân dân (cấp tỉnh hoặc cấp huyện) </w:t>
      </w:r>
    </w:p>
    <w:p w:rsidR="001418D8" w:rsidRPr="00511C87" w:rsidRDefault="007406BA" w:rsidP="007406BA">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Vấn đề đổi mới đơn vị hành chính ở Việt Nam</w:t>
      </w:r>
      <w:r w:rsidR="001418D8" w:rsidRPr="00511C87">
        <w:rPr>
          <w:rFonts w:ascii="Times New Roman" w:hAnsi="Times New Roman"/>
          <w:bCs/>
          <w:iCs/>
          <w:sz w:val="28"/>
          <w:szCs w:val="28"/>
        </w:rPr>
        <w:t>.</w:t>
      </w:r>
    </w:p>
    <w:p w:rsidR="001418D8" w:rsidRPr="00511C87" w:rsidRDefault="001418D8" w:rsidP="001418D8">
      <w:pPr>
        <w:tabs>
          <w:tab w:val="left" w:pos="426"/>
        </w:tabs>
        <w:spacing w:before="120" w:after="120" w:line="360" w:lineRule="auto"/>
        <w:rPr>
          <w:rFonts w:ascii="Times New Roman" w:hAnsi="Times New Roman"/>
          <w:sz w:val="28"/>
          <w:szCs w:val="28"/>
        </w:rPr>
      </w:pPr>
    </w:p>
    <w:p w:rsidR="001418D8" w:rsidRPr="00511C87" w:rsidRDefault="001418D8" w:rsidP="001418D8">
      <w:pPr>
        <w:tabs>
          <w:tab w:val="left" w:pos="426"/>
        </w:tabs>
        <w:spacing w:before="120" w:after="120" w:line="360" w:lineRule="auto"/>
        <w:jc w:val="center"/>
        <w:rPr>
          <w:rFonts w:ascii="Times New Roman" w:hAnsi="Times New Roman"/>
          <w:sz w:val="28"/>
          <w:szCs w:val="28"/>
        </w:rPr>
      </w:pPr>
      <w:r w:rsidRPr="00511C87">
        <w:rPr>
          <w:rFonts w:ascii="Times New Roman" w:hAnsi="Times New Roman"/>
          <w:b/>
          <w:sz w:val="28"/>
          <w:szCs w:val="28"/>
        </w:rPr>
        <w:t>LUẬT HÀNH CHÍNH</w:t>
      </w:r>
    </w:p>
    <w:p w:rsidR="001418D8" w:rsidRPr="00511C87" w:rsidRDefault="001418D8" w:rsidP="001418D8">
      <w:pPr>
        <w:tabs>
          <w:tab w:val="left" w:pos="426"/>
        </w:tabs>
        <w:spacing w:before="120" w:after="120" w:line="360" w:lineRule="auto"/>
        <w:jc w:val="center"/>
        <w:rPr>
          <w:rFonts w:ascii="Times New Roman" w:hAnsi="Times New Roman"/>
          <w:b/>
          <w:sz w:val="28"/>
          <w:szCs w:val="28"/>
        </w:rPr>
      </w:pP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Xử phạt vi phạm hành chính thông các phương tiện, thiết bị kỹ thuật</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Thủ tục áp dụng các biện pháp xử lý hành chính thông qua tòa án.</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Quy trình bổ nhiệm công chức vào các vị trí lãnh đạo</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Tạm giữ phương tiện vi phạm hành chính</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Các loại tài sản không được tịch thu, kê biên bán đấu giá trong quá trình xử phạt vi phạm hành chính</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bookmarkStart w:id="0" w:name="dieu_72"/>
      <w:r w:rsidRPr="00511C87">
        <w:rPr>
          <w:rFonts w:ascii="Times New Roman" w:hAnsi="Times New Roman"/>
          <w:bCs/>
          <w:iCs/>
          <w:sz w:val="28"/>
          <w:szCs w:val="28"/>
        </w:rPr>
        <w:t>Vấn đề c</w:t>
      </w:r>
      <w:r w:rsidRPr="00511C87">
        <w:rPr>
          <w:rFonts w:ascii="Times New Roman" w:hAnsi="Times New Roman"/>
          <w:bCs/>
          <w:sz w:val="28"/>
          <w:szCs w:val="28"/>
        </w:rPr>
        <w:t>ông bố công khai trên các phương tiện thông tin đại chúng việc xử phạt đối với cá nhân, tổ chức vi phạm hành chính</w:t>
      </w:r>
      <w:bookmarkEnd w:id="0"/>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sz w:val="28"/>
          <w:szCs w:val="28"/>
        </w:rPr>
        <w:lastRenderedPageBreak/>
        <w:t>Thẩm quyền ban hành văn bản QPPL của UBND các cấp theo quy định của Luật Ban hành văn bản QPPL 2015</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sz w:val="28"/>
          <w:szCs w:val="28"/>
        </w:rPr>
        <w:t>Hiệu lực của văn bản quy định chi tiết, thực tiễn và kiến nghị</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sz w:val="28"/>
          <w:szCs w:val="28"/>
        </w:rPr>
        <w:t>Vấn đề lập biên bản trong xử phạt vi phạm hành chính</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Vấn đề tùy nghi hành chính, lý luận và thực tiễn</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Trách nhiệm người đứng đầu cơ quan hành chính nhà nước.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Hoàn thiện chức năng, nhiệm vụ, quyền hạn Bộ, cơ quan ngang Bộ (chọn một Bộ nào đó).</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Phiên họp Uỷ ban nhân dân. Những vấn đề lý luận và thực tiễn.</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Quy trình xử lý kỷ luật công chức/viên chức: thực trạng và hướng hoàn thiện.</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Cơ cấu tổ chức Bộ, cơ quan ngang Bộ: trực trạng và giải pháp.</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Hoàn thiện pháp luật về chức năng, nhiệm vụ đơn vị sự nghiệp công lập.</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Xử lý kỷ</w:t>
      </w:r>
      <w:bookmarkStart w:id="1" w:name="_GoBack"/>
      <w:bookmarkEnd w:id="1"/>
      <w:r w:rsidRPr="00511C87">
        <w:rPr>
          <w:rFonts w:ascii="Times New Roman" w:hAnsi="Times New Roman"/>
          <w:sz w:val="28"/>
          <w:szCs w:val="28"/>
        </w:rPr>
        <w:t xml:space="preserve"> luật viên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Trách nhiệm bồi thường hoàn trả của viên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Xử lý kỷ luật cán bộ (cấp xã, huyện, hoặc tỉnh).</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Trách nhiệm vật chất của công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Thi tuyển viên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Tuyển dụng công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Xét tuyển công chức, viên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Những quy định mới của Luật Xử lý vi phạm hành chính với việc bảo đảm quyền con người.</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Quyền con người trong Luật Xử lý vi phạm hành chính.</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Đánh giá cán bộ, công chức, viên chức.</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Hiệu lực theo thời gian của văn bản quy phạm pháp luật.</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Các biện pháp bảo đảm thi hành quyết định xử phạt vi phạm hành chính.</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Áp dụng các hình thức xử phạt vi phạm hành chính với việc bảo đảm quyền con người.</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lastRenderedPageBreak/>
        <w:t xml:space="preserve"> Các nguyên tắc xử phạt vi phạm hành chính với việc đảm bảo quyền con người</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Tổ chức bộ máy hành chính nhà nước của chính quyền đô thị và nông thôn</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Xử phạt vi phạm hành chính đối với hành vi xâm phạm quyền bí mật đời tư trên các phương tiện truyền thông và mạng xã hội</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Xử phạt vi phạm hành chính trong lĩnh vực môi trường</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Xử phạt vi phạm hành chính trong lĩnh vực giao thông đường bộ</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bCs/>
          <w:iCs/>
          <w:sz w:val="28"/>
          <w:szCs w:val="28"/>
        </w:rPr>
        <w:t xml:space="preserve"> Xử phạt vi phạm hành chính trong lĩnh vực an ninh, trật tự an toàn xã hội</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bCs/>
          <w:iCs/>
          <w:sz w:val="28"/>
          <w:szCs w:val="28"/>
        </w:rPr>
        <w:t xml:space="preserve"> Xử phạt vi phạm hành chính trong lĩnh vực vệ sinh an toàn thực phẩm</w:t>
      </w:r>
    </w:p>
    <w:p w:rsidR="001418D8" w:rsidRPr="00511C87" w:rsidRDefault="001418D8" w:rsidP="001418D8">
      <w:pPr>
        <w:numPr>
          <w:ilvl w:val="0"/>
          <w:numId w:val="5"/>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Xử phạt vi phạm hành chính trong lĩnh vực giáo dục và đào tạo</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bCs/>
          <w:iCs/>
          <w:sz w:val="28"/>
          <w:szCs w:val="28"/>
        </w:rPr>
        <w:t>Quyền cư trú của công dân</w:t>
      </w:r>
    </w:p>
    <w:p w:rsidR="001418D8" w:rsidRPr="00511C87" w:rsidRDefault="001418D8" w:rsidP="001418D8">
      <w:pPr>
        <w:numPr>
          <w:ilvl w:val="0"/>
          <w:numId w:val="5"/>
        </w:numPr>
        <w:tabs>
          <w:tab w:val="left" w:pos="426"/>
        </w:tabs>
        <w:autoSpaceDE w:val="0"/>
        <w:autoSpaceDN w:val="0"/>
        <w:adjustRightInd w:val="0"/>
        <w:spacing w:before="120" w:after="120" w:line="360" w:lineRule="auto"/>
        <w:ind w:left="0" w:firstLine="0"/>
        <w:rPr>
          <w:rFonts w:ascii="Times New Roman" w:hAnsi="Times New Roman"/>
          <w:sz w:val="28"/>
          <w:szCs w:val="28"/>
          <w:lang w:val="en-GB" w:eastAsia="en-GB"/>
        </w:rPr>
      </w:pPr>
      <w:r w:rsidRPr="00511C87">
        <w:rPr>
          <w:rFonts w:ascii="Times New Roman" w:hAnsi="Times New Roman"/>
          <w:sz w:val="28"/>
          <w:szCs w:val="28"/>
        </w:rPr>
        <w:t xml:space="preserve"> </w:t>
      </w:r>
      <w:r w:rsidRPr="00511C87">
        <w:rPr>
          <w:rFonts w:ascii="Times New Roman" w:hAnsi="Times New Roman"/>
          <w:sz w:val="28"/>
          <w:szCs w:val="28"/>
          <w:lang w:val="en-GB" w:eastAsia="en-GB"/>
        </w:rPr>
        <w:t>Quản lý nhà nước v</w:t>
      </w:r>
      <w:r w:rsidRPr="00511C87">
        <w:rPr>
          <w:rFonts w:ascii="Times New Roman" w:eastAsia="MingLiU" w:hAnsi="Times New Roman"/>
          <w:sz w:val="28"/>
          <w:szCs w:val="28"/>
          <w:lang w:val="en-GB" w:eastAsia="en-GB"/>
        </w:rPr>
        <w:t>ề</w:t>
      </w:r>
      <w:r w:rsidRPr="00511C87">
        <w:rPr>
          <w:rFonts w:ascii="Times New Roman" w:hAnsi="Times New Roman"/>
          <w:sz w:val="28"/>
          <w:szCs w:val="28"/>
          <w:lang w:val="en-GB" w:eastAsia="en-GB"/>
        </w:rPr>
        <w:t xml:space="preserve"> Báo điện tử ở Việt Nam hiện nay</w:t>
      </w:r>
    </w:p>
    <w:p w:rsidR="001418D8" w:rsidRPr="00511C87" w:rsidRDefault="001418D8" w:rsidP="001418D8">
      <w:pPr>
        <w:numPr>
          <w:ilvl w:val="0"/>
          <w:numId w:val="5"/>
        </w:numPr>
        <w:tabs>
          <w:tab w:val="left" w:pos="426"/>
        </w:tabs>
        <w:autoSpaceDE w:val="0"/>
        <w:autoSpaceDN w:val="0"/>
        <w:adjustRightInd w:val="0"/>
        <w:spacing w:before="120" w:after="120" w:line="360" w:lineRule="auto"/>
        <w:ind w:left="0" w:firstLine="0"/>
        <w:rPr>
          <w:rFonts w:ascii="Times New Roman" w:hAnsi="Times New Roman"/>
          <w:sz w:val="28"/>
          <w:szCs w:val="28"/>
          <w:lang w:val="en-GB" w:eastAsia="en-GB"/>
        </w:rPr>
      </w:pPr>
      <w:r w:rsidRPr="00511C87">
        <w:rPr>
          <w:rFonts w:ascii="Times New Roman" w:hAnsi="Times New Roman"/>
          <w:sz w:val="28"/>
          <w:szCs w:val="28"/>
        </w:rPr>
        <w:t>Thủ tục hành chính và cải cách thủ tục hành chính</w:t>
      </w:r>
    </w:p>
    <w:p w:rsidR="001418D8" w:rsidRPr="00511C87" w:rsidRDefault="001418D8" w:rsidP="001418D8">
      <w:pPr>
        <w:numPr>
          <w:ilvl w:val="0"/>
          <w:numId w:val="5"/>
        </w:numPr>
        <w:tabs>
          <w:tab w:val="left" w:pos="426"/>
        </w:tabs>
        <w:autoSpaceDE w:val="0"/>
        <w:autoSpaceDN w:val="0"/>
        <w:adjustRightInd w:val="0"/>
        <w:spacing w:before="120" w:after="120" w:line="360" w:lineRule="auto"/>
        <w:ind w:left="0" w:firstLine="0"/>
        <w:rPr>
          <w:rFonts w:ascii="Times New Roman" w:hAnsi="Times New Roman"/>
          <w:sz w:val="28"/>
          <w:szCs w:val="28"/>
          <w:lang w:val="en-GB" w:eastAsia="en-GB"/>
        </w:rPr>
      </w:pPr>
      <w:r w:rsidRPr="00511C87">
        <w:rPr>
          <w:rFonts w:ascii="Times New Roman" w:hAnsi="Times New Roman"/>
          <w:sz w:val="28"/>
          <w:szCs w:val="28"/>
        </w:rPr>
        <w:t xml:space="preserve"> Quản lý nhà nước đối với hoạt động công chứng (tại địa phương cụ thể)</w:t>
      </w:r>
    </w:p>
    <w:p w:rsidR="001418D8" w:rsidRPr="00511C87" w:rsidRDefault="001418D8" w:rsidP="001418D8">
      <w:pPr>
        <w:numPr>
          <w:ilvl w:val="0"/>
          <w:numId w:val="5"/>
        </w:numPr>
        <w:tabs>
          <w:tab w:val="left" w:pos="426"/>
        </w:tabs>
        <w:autoSpaceDE w:val="0"/>
        <w:autoSpaceDN w:val="0"/>
        <w:adjustRightInd w:val="0"/>
        <w:spacing w:before="120" w:after="120" w:line="360" w:lineRule="auto"/>
        <w:ind w:left="0" w:firstLine="0"/>
        <w:rPr>
          <w:rFonts w:ascii="Times New Roman" w:hAnsi="Times New Roman"/>
          <w:sz w:val="28"/>
          <w:szCs w:val="28"/>
          <w:lang w:val="en-GB" w:eastAsia="en-GB"/>
        </w:rPr>
      </w:pPr>
      <w:r w:rsidRPr="00511C87">
        <w:rPr>
          <w:rFonts w:ascii="Times New Roman" w:hAnsi="Times New Roman"/>
          <w:sz w:val="28"/>
          <w:szCs w:val="28"/>
        </w:rPr>
        <w:t>Các biện pháp khắc phục hậu quả trong xử lý vi phạm hành chính</w:t>
      </w:r>
    </w:p>
    <w:p w:rsidR="001418D8" w:rsidRPr="00511C87" w:rsidRDefault="001418D8" w:rsidP="001418D8">
      <w:pPr>
        <w:numPr>
          <w:ilvl w:val="0"/>
          <w:numId w:val="5"/>
        </w:numPr>
        <w:tabs>
          <w:tab w:val="left" w:pos="426"/>
        </w:tabs>
        <w:autoSpaceDE w:val="0"/>
        <w:autoSpaceDN w:val="0"/>
        <w:adjustRightInd w:val="0"/>
        <w:spacing w:before="120" w:after="120" w:line="360" w:lineRule="auto"/>
        <w:ind w:left="0" w:firstLine="0"/>
        <w:rPr>
          <w:rFonts w:ascii="Times New Roman" w:hAnsi="Times New Roman"/>
          <w:sz w:val="28"/>
          <w:szCs w:val="28"/>
          <w:lang w:val="en-GB" w:eastAsia="en-GB"/>
        </w:rPr>
      </w:pPr>
      <w:r w:rsidRPr="00511C87">
        <w:rPr>
          <w:rFonts w:ascii="Times New Roman" w:hAnsi="Times New Roman"/>
          <w:sz w:val="28"/>
          <w:szCs w:val="28"/>
          <w:shd w:val="clear" w:color="auto" w:fill="FFFFFF"/>
        </w:rPr>
        <w:t>Biện pháp xử lý vi phạm hành chính đối với người chưa thành niên.</w:t>
      </w:r>
    </w:p>
    <w:p w:rsidR="001418D8" w:rsidRPr="00511C87" w:rsidRDefault="001418D8" w:rsidP="001418D8">
      <w:pPr>
        <w:numPr>
          <w:ilvl w:val="0"/>
          <w:numId w:val="5"/>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xây dựng tại quận/huyện X. thành phố Hồ Chí Minh.</w:t>
      </w:r>
    </w:p>
    <w:p w:rsidR="001418D8" w:rsidRPr="00511C87" w:rsidRDefault="001418D8" w:rsidP="001418D8">
      <w:pPr>
        <w:numPr>
          <w:ilvl w:val="0"/>
          <w:numId w:val="5"/>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Thi hành quyết định xử phạt vi phạm hành chính: thực tiễn và hướng hoàn thiện</w:t>
      </w:r>
    </w:p>
    <w:p w:rsidR="001418D8" w:rsidRPr="00511C87" w:rsidRDefault="001418D8" w:rsidP="001418D8">
      <w:pPr>
        <w:numPr>
          <w:ilvl w:val="0"/>
          <w:numId w:val="5"/>
        </w:numPr>
        <w:tabs>
          <w:tab w:val="left" w:pos="426"/>
        </w:tabs>
        <w:autoSpaceDE w:val="0"/>
        <w:autoSpaceDN w:val="0"/>
        <w:adjustRightInd w:val="0"/>
        <w:spacing w:before="120" w:after="120" w:line="360" w:lineRule="auto"/>
        <w:ind w:left="0" w:firstLine="0"/>
        <w:rPr>
          <w:rFonts w:ascii="Times New Roman" w:hAnsi="Times New Roman"/>
          <w:sz w:val="28"/>
          <w:szCs w:val="28"/>
          <w:lang w:val="en-GB" w:eastAsia="en-GB"/>
        </w:rPr>
      </w:pPr>
      <w:r w:rsidRPr="00511C87">
        <w:rPr>
          <w:rFonts w:ascii="Times New Roman" w:hAnsi="Times New Roman"/>
          <w:sz w:val="28"/>
          <w:szCs w:val="28"/>
        </w:rPr>
        <w:t>Hoạt động thẩm định, thẩm tra văn bản quy phạm pháp luật của chính quyền địa phương.</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Giá trị pháp lý của văn bản quy phạm pháp luật – Thực tiễn và kiến nghị.</w:t>
      </w:r>
    </w:p>
    <w:p w:rsidR="001418D8" w:rsidRPr="00511C87" w:rsidRDefault="001418D8" w:rsidP="001418D8">
      <w:pPr>
        <w:numPr>
          <w:ilvl w:val="0"/>
          <w:numId w:val="5"/>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Mối quan hệ giữa Quốc hội và Chính phủ trong hoạt động ban hành văn bản quy phạm pháp luật.</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Nguyên tắc giải quyết xung đột trong văn bản QPPL ở Việt Nam thực trạng và kiến nghị</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lastRenderedPageBreak/>
        <w:t xml:space="preserve"> Giá trị pháp lý của các văn bản quy phạm nội bộ của các cơ quan không có thẩm quyền ban hành văn bản QPPL</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Vai trò của cơ quan thẩm định trong việc đảm bảo tính hợp pháp, hợp lý của văn bản QPPL.</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Cơ sở pháp lý phân biệt văn bản QPPL và văn bản áp dụng QPPL</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pPr>
      <w:r w:rsidRPr="00511C87">
        <w:rPr>
          <w:rFonts w:ascii="Times New Roman" w:hAnsi="Times New Roman"/>
          <w:bCs/>
          <w:iCs/>
          <w:sz w:val="28"/>
          <w:szCs w:val="28"/>
        </w:rPr>
        <w:t>Vai trò của Chính phủ trong hoạt động lập pháp</w:t>
      </w:r>
    </w:p>
    <w:p w:rsidR="001418D8" w:rsidRPr="00511C87" w:rsidRDefault="001418D8" w:rsidP="001418D8">
      <w:pPr>
        <w:numPr>
          <w:ilvl w:val="0"/>
          <w:numId w:val="5"/>
        </w:numPr>
        <w:tabs>
          <w:tab w:val="left" w:pos="426"/>
        </w:tabs>
        <w:spacing w:before="120" w:after="120" w:line="360" w:lineRule="auto"/>
        <w:ind w:left="0" w:firstLine="0"/>
        <w:rPr>
          <w:rFonts w:ascii="Times New Roman" w:hAnsi="Times New Roman"/>
          <w:bCs/>
          <w:iCs/>
          <w:sz w:val="28"/>
          <w:szCs w:val="28"/>
        </w:rPr>
        <w:sectPr w:rsidR="001418D8" w:rsidRPr="00511C87" w:rsidSect="00511C87">
          <w:footerReference w:type="default" r:id="rId7"/>
          <w:pgSz w:w="11907" w:h="16839" w:code="9"/>
          <w:pgMar w:top="1440" w:right="1275" w:bottom="1440" w:left="1418" w:header="720" w:footer="720" w:gutter="0"/>
          <w:pgNumType w:start="130"/>
          <w:cols w:space="720"/>
          <w:docGrid w:linePitch="360"/>
        </w:sectPr>
      </w:pPr>
      <w:r w:rsidRPr="00511C87">
        <w:rPr>
          <w:rFonts w:ascii="Times New Roman" w:hAnsi="Times New Roman"/>
          <w:bCs/>
          <w:iCs/>
          <w:sz w:val="28"/>
          <w:szCs w:val="28"/>
        </w:rPr>
        <w:t>Biện pháp đưa vào cơ sở cai nghiện bắt buộc, thực tiễn và kiến nghị</w:t>
      </w:r>
    </w:p>
    <w:p w:rsidR="001418D8" w:rsidRPr="00511C87" w:rsidRDefault="001418D8" w:rsidP="001418D8">
      <w:pPr>
        <w:tabs>
          <w:tab w:val="left" w:pos="426"/>
        </w:tabs>
        <w:spacing w:before="120" w:after="120" w:line="360" w:lineRule="auto"/>
        <w:jc w:val="center"/>
        <w:rPr>
          <w:rFonts w:ascii="Times New Roman" w:hAnsi="Times New Roman"/>
          <w:b/>
          <w:sz w:val="28"/>
          <w:szCs w:val="28"/>
        </w:rPr>
      </w:pPr>
    </w:p>
    <w:p w:rsidR="001418D8" w:rsidRPr="00511C87" w:rsidRDefault="001418D8" w:rsidP="001418D8">
      <w:pPr>
        <w:tabs>
          <w:tab w:val="left" w:pos="426"/>
        </w:tabs>
        <w:spacing w:before="120" w:after="120" w:line="360" w:lineRule="auto"/>
        <w:jc w:val="center"/>
        <w:rPr>
          <w:rFonts w:ascii="Times New Roman" w:hAnsi="Times New Roman"/>
          <w:b/>
          <w:sz w:val="28"/>
          <w:szCs w:val="28"/>
        </w:rPr>
      </w:pPr>
      <w:r w:rsidRPr="00511C87">
        <w:rPr>
          <w:rFonts w:ascii="Times New Roman" w:hAnsi="Times New Roman"/>
          <w:b/>
          <w:sz w:val="28"/>
          <w:szCs w:val="28"/>
        </w:rPr>
        <w:t>BỘ MÔN LUẬT TỐ TỤNG HÀNH CHÍNH</w:t>
      </w:r>
    </w:p>
    <w:p w:rsidR="001418D8" w:rsidRPr="00511C87" w:rsidRDefault="001418D8" w:rsidP="001418D8">
      <w:pPr>
        <w:tabs>
          <w:tab w:val="left" w:pos="426"/>
        </w:tabs>
        <w:spacing w:before="120" w:after="120" w:line="360" w:lineRule="auto"/>
        <w:rPr>
          <w:rFonts w:ascii="Times New Roman" w:hAnsi="Times New Roman"/>
          <w:b/>
          <w:sz w:val="28"/>
          <w:szCs w:val="28"/>
        </w:rPr>
      </w:pPr>
      <w:r w:rsidRPr="00511C87">
        <w:rPr>
          <w:rFonts w:ascii="Times New Roman" w:hAnsi="Times New Roman"/>
          <w:b/>
          <w:sz w:val="28"/>
          <w:szCs w:val="28"/>
        </w:rPr>
        <w:t>I. LUẬT TỐ TỤNG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Nguyên tắc đối thoại trong tố tụng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Nguyên tắc quyền quyết định và tự định đoạt của người khởi kiện</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Thẩm quyền giải quyết khiếu kiện hành chính của TAND theo cấp Tòa án và theo lãnh thổ.</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Thẩm quyền xét xử hành chính của Tòa án nhân dân theo lãnh thổ.</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Quyết định hành chính-Đối tượng khởi kiện trong vụ án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Hành vi hành chính- Đối tượng khởi kiện trong vụ án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Quyết định kỷ luật buộc thôi việc-Đối tượng khởi kiện trong vụ án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Quyết định giải quyết khiếu nại về quyết định xử lý vụ việc cạnh tranh-.Đối tượng khởi kiện trong vụ án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Trả lại đơn khởi kiện trong tố tụng hành chính- Lý luận và thực tiễn.</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 xml:space="preserve"> Thủ tục hỏi tại phiên tòa sơ thẩm trong tố tụng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Thẩm quyền của Hội đồng xét xử sơ thẩm.</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lastRenderedPageBreak/>
        <w:t>Thẩm quyền của Hội đồng xét xử phúc thẩm.</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Địa vị tố tụng của Thẩm phán trong việc giải quyết vụ án hành chính.</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Người bảo vệ quyền là lợi ích hợp pháp trong tố tụng hành chính.</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Vai trò của Viện kiểm sát trong việc giải quyết vụ án hành chính.</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Đối tượng kháng nghị theo thủ tục giám đốc thẩm, tái thẩm.</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Thẩm quyền của Hội đồng phúc thẩm đối với quyết định của Tòa án cấp sơ thẩm.</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Thời hiệu khởi kiện trong vụ án hành chính.</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Quyền khởi kiện vụ án hành chính.</w:t>
      </w:r>
    </w:p>
    <w:p w:rsidR="001418D8" w:rsidRPr="00511C87" w:rsidRDefault="001418D8" w:rsidP="001418D8">
      <w:pPr>
        <w:numPr>
          <w:ilvl w:val="0"/>
          <w:numId w:val="6"/>
        </w:numPr>
        <w:tabs>
          <w:tab w:val="left" w:pos="426"/>
        </w:tabs>
        <w:spacing w:before="120" w:after="120" w:line="360" w:lineRule="auto"/>
        <w:ind w:left="0" w:firstLine="0"/>
        <w:contextualSpacing/>
        <w:rPr>
          <w:rFonts w:ascii="Times New Roman" w:eastAsia="Times New Roman" w:hAnsi="Times New Roman"/>
          <w:sz w:val="28"/>
          <w:szCs w:val="28"/>
        </w:rPr>
      </w:pPr>
      <w:r w:rsidRPr="00511C87">
        <w:rPr>
          <w:rFonts w:ascii="Times New Roman" w:eastAsia="Times New Roman" w:hAnsi="Times New Roman"/>
          <w:sz w:val="28"/>
          <w:szCs w:val="28"/>
        </w:rPr>
        <w:t>Mối liên hệ giữa khiếu nại hành chính và việc giải quyết vụ án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Luật TTHC với việc bảo vệ quyền lợi ích hợp pháp của cá nhân, tổ chức.</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Đối tượng xét xử của Tòa án nhân dân trong Luật TTHC Việt Nam</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Giải quyết các khiếu kiện hành chính đối với quyết định thu hồi đất</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Giải quyết các khiếu kiện hành chính đối với quyết định xử phạt vi phạm hành chính</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Giải quyết các khiếu kiện đối với quyết định hành chính, hành vi hành chính trong hoạt động công chứng, chứng thực.</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Đảm bảo tính độc lập của cơ quan tiến hành tố tụng, người tiến hành tố tụng trong quá trình giải quyết vụ án hành chính ở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khởi kiện trong tố tụng hành chính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Thi hành án hành chính ở Việt Nam-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Quyền khởi kiện vụ án hành chính của cá nhân trong điều kiện xây dựng Nhà nước pháp quyền ở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Áp dụng pháp luật khiếu nại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Bảo đảm quyền khởi kiện vụ án hành chính của cơ quan, tổ chức.</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Quyền khởi kiện vụ án hành chính trong điều kiện hội nhập quốc tế ở Việt Nam hiện nay.</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Nguyên tắc của Luật tố tụng hành chính trong việc bảo vệ quyền và lợi ích hợp pháp của cá nhân, tổ chức. </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tham gia tố tụng trong Luật TTHCVN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tiến hành tố tụng trong Luật TTHCVN</w:t>
      </w:r>
    </w:p>
    <w:p w:rsidR="001418D8" w:rsidRPr="00511C87" w:rsidRDefault="001418D8" w:rsidP="001418D8">
      <w:pPr>
        <w:numPr>
          <w:ilvl w:val="0"/>
          <w:numId w:val="6"/>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Chứng cứ trong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Tài phán hành chính trong mối liên hệ với nền dân chủ ở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khỏi kiện và người bảo vệ quyền lợi cho người khởi kiện khi tham gia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Tài phán hành chính một số nước trên thế giới và kinh nghiệm tham khảo ở Việt Nam. </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Bồi thường thiệt hại trong tố tụng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Quyền hạn của Tòa án nhân dân trong xét xử sơ thẩm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Biện pháp khẩn cấp tạm thời trong tố tụng hành chính – Lý luận và thực tiễn. </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Nguyên tắc bình đẳng giữa các đương sự trong giai đoạn xét xử sơ thẩm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Xét xử sơ thẩm vụ án hành chính – Thực trạng và hướng hoàn thiện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Tài phán hành chính trong điều kiện xây dựng nhà nước pháp quyền ở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Vấn đề chứng cứ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Chế độ hai cấp xét xử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giải quyết các khiếu kiện hành chính của Tòa án nhân dân.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Vấn đề cấp, tống đạt các loại văn bản trong quá trình giải quyết các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Các biện pháp khẩn cấp tạm thời trong tố tụng hành chính. Lý luận và thực tiễn .</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đại diện của đương sự trong tố tụng hành chính. Lý luận và thực tiển.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bảo vệ quyền và lợi ích hợp pháp của đương sự trong vụ án hành chính .Lý luận,pháp lý,thực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Vấn đề từ chối và thay đổi người tiến hành tố tụng trong tố tụng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Khởi kiện và thụ lý vụ án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Chuẩn bị xét xử sơ thẩm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Vấn đề tạm đình chỉ và đình chỉ việc giải quyết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Xét xử sơ thẩm vụ án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Xét xử phúc thẩm vụ án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Giám đốc thẩm , tái thẩm vụ án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Đối tượng khiếu kiện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Khởi kiện vụ án hành chính trong Luật TTHC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khởi kiện và người bị kiện trong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Quyền và nghĩa vụ của người khởi kiện và người bị kiện trong Luật Tố tụng hành chính VN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Quyết định hành chính-Đối tượng khiếu kiện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của TAND cấp huyện trong việc giải quyết các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của TAND cấp tỉnh trong việc giải quyết các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Các biện pháp khẩn cấp tạm thời trong giai đoạn chuẩn bị xét xử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Tạm đình chỉ và đình chỉ giải quyết vụ án hành chính-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Vai trò của người tiến hành tố tụng trong quá trình giải quyết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tiến hành tố tụng – một số vấn đề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Quyền khởi kiện vụ án hành chính của cá nhân trong điều kiện xây dựng Nhà nước pháp quyền ở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Bảo đảm quyền khởi kiện vụ án hành chính của cơ quan, tổ chức.</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Quyền khởi kiện vụ án hành chính trong điều kiện hội nhập quốc tế ở Việt Nam hiện nay.</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Nguyên tắc của Luật tố tụng hành chính trong việc bảo vệ quyền và lợi ích hợp pháp của cá nhân, tổ chức. </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tham gia tố tụng trong Luật TTHCVN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tiến hành tố tụng trong Luật TTHCVN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Chứng cứ trong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Đình chỉ giải quyết vụ án hành chính, một số vấn đề lý luận và thực tiễn.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Vấn đề trả lại đơn kiện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Thay đổi người tiến hành tố tụng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Mô hình tổ chức Tòa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Thủ tục khởi kiện và thụ lý vụ án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Nghĩa vụ chứng minh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Vấn đề thời hạn và thời hiệu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Vai trò của Thẩm phán trong tố tụng hành chính.</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Xét xử sơ thẩm vụ án hành chính trong Luật TTHC Việt Nam</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Xét xử phúc thẩm vụ án hành chính trong luật TTHCVN</w:t>
      </w:r>
    </w:p>
    <w:p w:rsidR="001418D8" w:rsidRPr="00511C87" w:rsidRDefault="001418D8" w:rsidP="001418D8">
      <w:pPr>
        <w:numPr>
          <w:ilvl w:val="0"/>
          <w:numId w:val="6"/>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Xét lại bản án, quyết định của Tòa án theo thủ tục giám đốc thẩm, tái thẩm.</w:t>
      </w:r>
    </w:p>
    <w:p w:rsidR="001418D8" w:rsidRPr="00511C87" w:rsidRDefault="001418D8" w:rsidP="001418D8">
      <w:pPr>
        <w:tabs>
          <w:tab w:val="left" w:pos="426"/>
        </w:tabs>
        <w:spacing w:before="120" w:after="120" w:line="360" w:lineRule="auto"/>
        <w:rPr>
          <w:rFonts w:ascii="Times New Roman" w:hAnsi="Times New Roman"/>
          <w:b/>
          <w:sz w:val="28"/>
          <w:szCs w:val="28"/>
        </w:rPr>
      </w:pPr>
    </w:p>
    <w:p w:rsidR="001418D8" w:rsidRPr="00511C87" w:rsidRDefault="001418D8" w:rsidP="001418D8">
      <w:pPr>
        <w:tabs>
          <w:tab w:val="left" w:pos="426"/>
        </w:tabs>
        <w:spacing w:before="120" w:after="120" w:line="360" w:lineRule="auto"/>
        <w:rPr>
          <w:rFonts w:ascii="Times New Roman" w:hAnsi="Times New Roman"/>
          <w:b/>
          <w:sz w:val="28"/>
          <w:szCs w:val="28"/>
        </w:rPr>
      </w:pPr>
      <w:r w:rsidRPr="00511C87">
        <w:rPr>
          <w:rFonts w:ascii="Times New Roman" w:hAnsi="Times New Roman"/>
          <w:b/>
          <w:sz w:val="28"/>
          <w:szCs w:val="28"/>
        </w:rPr>
        <w:t>II. PHÁP LUẬT THANH TRA KHIẾU NẠI TỐ CÁO:</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là một chức năng của quản lý nhà nước</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một hoạt động kiểm soát quyền lực nhà nước trong lĩnh vực hành pháp</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 xml:space="preserve">Hoạt động thanh tra hành chính </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đối với hoạt động quảng cáo</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đối với hoạt động biểu diễn nghệ thuật</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chuyên ngành về báo chí</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chuyên ngành về lễ hội và tổ chức lễ hội</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Thanh tra việc tuyển dụng, sử dụng, đào tạo cán bộ, công chức</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 xml:space="preserve"> Thanh tra  an toàn vệ sinh thực phẩm</w:t>
      </w:r>
    </w:p>
    <w:p w:rsidR="001418D8" w:rsidRPr="00511C87" w:rsidRDefault="001418D8" w:rsidP="001418D8">
      <w:pPr>
        <w:numPr>
          <w:ilvl w:val="0"/>
          <w:numId w:val="7"/>
        </w:numPr>
        <w:tabs>
          <w:tab w:val="left" w:pos="426"/>
        </w:tabs>
        <w:spacing w:before="120" w:after="120" w:line="360" w:lineRule="auto"/>
        <w:ind w:left="0" w:firstLine="0"/>
        <w:rPr>
          <w:rFonts w:ascii="Times New Roman" w:hAnsi="Times New Roman"/>
          <w:sz w:val="28"/>
          <w:szCs w:val="28"/>
        </w:rPr>
      </w:pPr>
      <w:r w:rsidRPr="00511C87">
        <w:rPr>
          <w:rFonts w:ascii="Times New Roman" w:hAnsi="Times New Roman"/>
          <w:sz w:val="28"/>
          <w:szCs w:val="28"/>
        </w:rPr>
        <w:t>Hoạt động thanh tra chuyên ngành của cơ quan được giao thực hiện chức năng thanh tra chuyên ngành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Tổ chức và hoạt động của Thanh tra bộ</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Tổ chức và hoạt động của Thanh tra sở (hoặc của một sở cụ thể)</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Tổ chức và hoạt động của Thanh tra huyện</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Tổ chức và hoạt động của Thanh tra tỉnh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văn hoá</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xây dựng</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đất đai</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lao động</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giao thông vận tải</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giáo dục và đào tạo</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Hoạt động thanh tra trong lĩnh vực y tế.</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Hoạt động thanh tra trong lĩnh vực môi trường.</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Thanh tra hành chính của Thanh tra bộ</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Thanh tra hành chính của Thanh tra sở</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Quyền khiếu nại hành chính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Bảo đảm quyền khiếu nại hành chính của cá nhân, tổ chức</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Quyền khiếu nại của người chưa thành niên</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Uỷ quyền trong pháp luật khiếu nại hành chính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Đại diện trong pháp luật khiếu nại và giải quyết khiếu nại hành chính.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Người khiếu nại và người bị khiếu nại trong Luật khiếu nại năm 2011</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Đối tượng khiếu nại hành chính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Khiếu nại và giải quyết khiếu nại quyết định kỷ luật cán bộ, công chức.</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Khiếu nại và giải quyết khiếu nại quyết định kỷ luật viên chức</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Khiếu nại và giải quyết khiếu nại trong các doanh nghiệp nhà nước</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Khiếu nại và giải quyết khiếu nại hành chính trong đơn vị sự nghiệp của nhà nước.</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Đối thoại trong giải quyết khiếu nại hành chính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Thẩm quyền giải quyết khiếu nại hành chính của Chủ tịch UBND cấp xã</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giải quyết khiếu nại hành chính của Chủ tịch UBND cấp huyện</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giải quyết khiếu nại hành chính của Chủ tịch UBND cấp tỉnh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giải quyết khiếu nại hành chính của Giám đốc sở (hoặc tại một sở cụ thể)</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Thẩm quyền giải quyết khiếu nại hành chính của Bộ trưởng (hoặc tại 1 bộ cụ thể)</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Thi hành Quyết định giải quyết khiếu nại.</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Tiếp công dân trong việc giải quyết khiếu nại, tố cáo.</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Quy trình thanh tra hành chính </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 trình thanh tra chuyên ngành .</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Xác minh, thu thập chứng cứ trong giải quyết khiếu nai hành chính</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Xác minh, thu thâp chứng cứ trong giải quyết tố cáo.</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Khiếu nại và giải quyết khiếu nại trong lĩnh vực xây dựng (qua thực tiển tai một địa phương).</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Khiếu nại và giải quyết khiếu nại trong lĩnh vực y tế .(qua thưc tiển tại môt địa phương).</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Khiếu nại và giải quyết khiếu nại trong lĩnh vực đất đai ( qua thực tiển tại một địa phương ).</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Thời hiệu khiếu nại</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Thẩm quyền giải quyết tố cáo </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Quy trình giải quyết tố cáo</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Xử lý kết luận giải quyết tố cáo</w:t>
      </w:r>
    </w:p>
    <w:p w:rsidR="001418D8" w:rsidRPr="00511C87" w:rsidRDefault="001418D8" w:rsidP="001418D8">
      <w:pPr>
        <w:numPr>
          <w:ilvl w:val="0"/>
          <w:numId w:val="7"/>
        </w:numPr>
        <w:tabs>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Người tố cáo và người bị tố cáo </w:t>
      </w:r>
    </w:p>
    <w:p w:rsidR="001418D8" w:rsidRPr="00511C87" w:rsidRDefault="001418D8" w:rsidP="001418D8">
      <w:pPr>
        <w:tabs>
          <w:tab w:val="left" w:pos="426"/>
        </w:tabs>
        <w:spacing w:before="120" w:after="120" w:line="360" w:lineRule="auto"/>
        <w:rPr>
          <w:rFonts w:ascii="Times New Roman" w:hAnsi="Times New Roman"/>
          <w:bCs/>
          <w:iCs/>
          <w:sz w:val="28"/>
          <w:szCs w:val="28"/>
        </w:rPr>
      </w:pPr>
    </w:p>
    <w:p w:rsidR="001418D8" w:rsidRPr="00511C87" w:rsidRDefault="001418D8" w:rsidP="001418D8">
      <w:pPr>
        <w:tabs>
          <w:tab w:val="left" w:pos="426"/>
        </w:tabs>
        <w:spacing w:before="120" w:after="120" w:line="360" w:lineRule="auto"/>
        <w:jc w:val="center"/>
        <w:rPr>
          <w:rFonts w:ascii="Times New Roman" w:hAnsi="Times New Roman"/>
          <w:b/>
          <w:sz w:val="28"/>
          <w:szCs w:val="28"/>
        </w:rPr>
      </w:pPr>
      <w:r w:rsidRPr="00511C87">
        <w:rPr>
          <w:rFonts w:ascii="Times New Roman" w:hAnsi="Times New Roman"/>
          <w:b/>
          <w:sz w:val="28"/>
          <w:szCs w:val="28"/>
        </w:rPr>
        <w:t>BỘ MÔN LÝ LUẬN NHÀ NƯỚC VÀ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Giám sát xã hội đối với quyền lực nhà nước</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Vai trò của nhà nước trong việc phát triển một xã hội dân sự lành mạnh</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Quy chế dân chủ cơ sở, thực trạng và giải pháp (từ thực tiễn ở tỉnh…)</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Khía cạnh pháp lý của giám sát và phản biện xã hội trong điều kiện xây dựng nhà nước pháp quyền ở Việt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Xã hội dân sự</w:t>
      </w:r>
    </w:p>
    <w:p w:rsidR="001418D8" w:rsidRPr="00511C87" w:rsidRDefault="001418D8" w:rsidP="001418D8">
      <w:pPr>
        <w:pStyle w:val="ListNumber"/>
        <w:numPr>
          <w:ilvl w:val="0"/>
          <w:numId w:val="9"/>
        </w:numPr>
        <w:tabs>
          <w:tab w:val="left" w:pos="426"/>
          <w:tab w:val="left" w:pos="720"/>
        </w:tabs>
        <w:spacing w:before="120" w:after="120" w:line="360" w:lineRule="auto"/>
        <w:ind w:left="0" w:firstLine="0"/>
        <w:rPr>
          <w:sz w:val="28"/>
          <w:szCs w:val="28"/>
        </w:rPr>
      </w:pPr>
      <w:r w:rsidRPr="00511C87">
        <w:rPr>
          <w:sz w:val="28"/>
          <w:szCs w:val="28"/>
        </w:rPr>
        <w:lastRenderedPageBreak/>
        <w:t>Pháp luật về hội</w:t>
      </w:r>
    </w:p>
    <w:p w:rsidR="001418D8" w:rsidRPr="00511C87" w:rsidRDefault="001418D8" w:rsidP="001418D8">
      <w:pPr>
        <w:pStyle w:val="ListNumber"/>
        <w:numPr>
          <w:ilvl w:val="0"/>
          <w:numId w:val="9"/>
        </w:numPr>
        <w:tabs>
          <w:tab w:val="left" w:pos="426"/>
          <w:tab w:val="left" w:pos="720"/>
        </w:tabs>
        <w:spacing w:before="120" w:after="120" w:line="360" w:lineRule="auto"/>
        <w:ind w:left="0" w:firstLine="0"/>
        <w:rPr>
          <w:sz w:val="28"/>
          <w:szCs w:val="28"/>
        </w:rPr>
      </w:pPr>
      <w:r w:rsidRPr="00511C87">
        <w:rPr>
          <w:sz w:val="28"/>
          <w:szCs w:val="28"/>
        </w:rPr>
        <w:t>Văn hóa pháp luật</w:t>
      </w:r>
    </w:p>
    <w:p w:rsidR="001418D8" w:rsidRPr="00511C87" w:rsidRDefault="001418D8" w:rsidP="001418D8">
      <w:pPr>
        <w:pStyle w:val="ListNumber"/>
        <w:numPr>
          <w:ilvl w:val="0"/>
          <w:numId w:val="9"/>
        </w:numPr>
        <w:tabs>
          <w:tab w:val="left" w:pos="426"/>
          <w:tab w:val="left" w:pos="720"/>
        </w:tabs>
        <w:spacing w:before="120" w:after="120" w:line="360" w:lineRule="auto"/>
        <w:ind w:left="0" w:firstLine="0"/>
        <w:rPr>
          <w:sz w:val="28"/>
          <w:szCs w:val="28"/>
        </w:rPr>
      </w:pPr>
      <w:r w:rsidRPr="00511C87">
        <w:rPr>
          <w:sz w:val="28"/>
          <w:szCs w:val="28"/>
        </w:rPr>
        <w:t>Hình thức pháp luật Việt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Vai trò của ý thức pháp luật trong hoạt động xây dựng và thực hiện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Những giá trị truyền thống của tư tưởng chính trị pháp lý Việt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Các dấu hiệu của Hành vi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Pháp luật trong hệ thống các quy phạm xã hội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Các hệ thống pháp luật đương đại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Hợp đồng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Nguồn của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Sự kiện pháp lý</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Giải thích pháp luật và xử lý mâu thuẫn nội tại trong hệ thống văn bản quy phạm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Khuyến khích và ưu đãi pháp lý</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Trật tự pháp luật và pháp chế</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Lợi ích hợp pháp</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Giải thích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Hiệu quả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Cấu thành vi phạm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Giải thích pháp luật, vai trò giải thích pháp luật của tòa án.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Thuộc tính của pháp luật, vai trò của nó trong Nhà nước pháp quyền XHCN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Đặc điểm cơ bản của pháp luật trong Nhà nước pháp quyền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Mối quan hệ của pháp luật với các quy phạm xã hội khác</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Hệ thống hóa pháp luật: lịch sử và hiện tại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Các phương thức thể hiện cơ bản của quy phạm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Tính minh bạch của pháp luật trong điều kiện xây dựng nhà nước pháp quyền </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Phản biện xã hội – Một hình thức chế ước quyền lực nhà nước</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lastRenderedPageBreak/>
        <w:t>Đa dạng hóa nguồn luật ở Việt Nam trong giai đoạn hiện nay (có thể chọn 1 nguồn luật để nghiên cứu)</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Tìm hiểu về lưỡng viện trên thế giới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Đánh giá hiệu quả tác động pháp luật</w:t>
      </w:r>
    </w:p>
    <w:p w:rsidR="001418D8" w:rsidRPr="00511C87" w:rsidRDefault="001418D8" w:rsidP="001418D8">
      <w:pPr>
        <w:pStyle w:val="ListNumber"/>
        <w:numPr>
          <w:ilvl w:val="0"/>
          <w:numId w:val="9"/>
        </w:numPr>
        <w:tabs>
          <w:tab w:val="left" w:pos="426"/>
        </w:tabs>
        <w:spacing w:before="120" w:after="120" w:line="360" w:lineRule="auto"/>
        <w:ind w:left="0" w:firstLine="0"/>
        <w:rPr>
          <w:sz w:val="28"/>
          <w:szCs w:val="28"/>
        </w:rPr>
      </w:pPr>
      <w:r w:rsidRPr="00511C87">
        <w:rPr>
          <w:sz w:val="28"/>
          <w:szCs w:val="28"/>
        </w:rPr>
        <w:t>Vấn đề xác định hiệu lực của văn bản quy phạm pháp luật ở Việt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Vấn đề pháp lý về điều kiện và thủ tục thành lập hội trong quá trình hoàn thiện xã hội dân sự ở Việt Nam hiện nay</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Lý luận và thực trạng áp dụng pháp luật tương tự trong hoạt động xét xử của Toà án nhân dân ở Việt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Thực tiễn áp dụng pháp luật trong một số lĩnh vực cụ thể (Hành chính, dân sự, lao động, …)</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Thực hiện pháp luật trong điều kiện xây dựng nhà nước pháp quyền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Nguyên tắc tập quyền và nguyên tắc phân quyền trong thực tiễn tổ chức quyền lực nhà nước (lựa chọn một số nước cụ thể để nghiên cứu)</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Tòa án hiến pháp</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Thực trạng hoạt động rà soát, hệ thống hóa văn bản quy phạm pháp luật (ở một số địa phương cụ thể)</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Tổ chức và hoạt động của bộ máy nhà nước (lựa chọn một số nước cụ thể để nghiên cứu)</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Đảm bảo tính hợp hiến và tính thống nhất của văn bản quy phạm pháp luật trong hệ thống pháp luật Việt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Đánh giá về tính phù hợp của hệ thống pháp luật Việt Nam hiện nay </w:t>
      </w:r>
    </w:p>
    <w:p w:rsidR="001418D8" w:rsidRPr="00511C87" w:rsidRDefault="001418D8" w:rsidP="001418D8">
      <w:pPr>
        <w:numPr>
          <w:ilvl w:val="0"/>
          <w:numId w:val="9"/>
        </w:numPr>
        <w:tabs>
          <w:tab w:val="left" w:pos="426"/>
        </w:tabs>
        <w:spacing w:before="120" w:after="120" w:line="360" w:lineRule="auto"/>
        <w:ind w:left="0" w:firstLine="0"/>
        <w:jc w:val="both"/>
        <w:rPr>
          <w:rFonts w:ascii="Times New Roman" w:hAnsi="Times New Roman"/>
          <w:noProof/>
          <w:sz w:val="28"/>
          <w:szCs w:val="28"/>
        </w:rPr>
      </w:pPr>
      <w:r w:rsidRPr="00511C87">
        <w:rPr>
          <w:rFonts w:ascii="Times New Roman" w:hAnsi="Times New Roman"/>
          <w:noProof/>
          <w:sz w:val="28"/>
          <w:szCs w:val="28"/>
        </w:rPr>
        <w:t>Vị trí, vai trò của nhà nước trong hệ thống chính trị</w:t>
      </w:r>
    </w:p>
    <w:p w:rsidR="001418D8" w:rsidRPr="00511C87" w:rsidRDefault="001418D8" w:rsidP="001418D8">
      <w:pPr>
        <w:numPr>
          <w:ilvl w:val="0"/>
          <w:numId w:val="9"/>
        </w:numPr>
        <w:tabs>
          <w:tab w:val="left" w:pos="426"/>
        </w:tabs>
        <w:spacing w:before="120" w:after="120" w:line="360" w:lineRule="auto"/>
        <w:ind w:left="0" w:firstLine="0"/>
        <w:jc w:val="both"/>
        <w:rPr>
          <w:rFonts w:ascii="Times New Roman" w:hAnsi="Times New Roman"/>
          <w:noProof/>
          <w:sz w:val="28"/>
          <w:szCs w:val="28"/>
        </w:rPr>
      </w:pPr>
      <w:r w:rsidRPr="00511C87">
        <w:rPr>
          <w:rFonts w:ascii="Times New Roman" w:hAnsi="Times New Roman"/>
          <w:noProof/>
          <w:sz w:val="28"/>
          <w:szCs w:val="28"/>
        </w:rPr>
        <w:t xml:space="preserve"> Mối quan hệ giữa nhà nước và các thiết chế khác trong hệ thống chính trị Việt Nam hiện nay</w:t>
      </w:r>
    </w:p>
    <w:p w:rsidR="001418D8" w:rsidRPr="00511C87" w:rsidRDefault="001418D8" w:rsidP="001418D8">
      <w:pPr>
        <w:numPr>
          <w:ilvl w:val="0"/>
          <w:numId w:val="9"/>
        </w:numPr>
        <w:tabs>
          <w:tab w:val="left" w:pos="426"/>
        </w:tabs>
        <w:spacing w:before="120" w:after="120" w:line="360" w:lineRule="auto"/>
        <w:ind w:left="0" w:firstLine="0"/>
        <w:jc w:val="both"/>
        <w:rPr>
          <w:rFonts w:ascii="Times New Roman" w:hAnsi="Times New Roman"/>
          <w:noProof/>
          <w:sz w:val="28"/>
          <w:szCs w:val="28"/>
        </w:rPr>
      </w:pPr>
      <w:r w:rsidRPr="00511C87">
        <w:rPr>
          <w:rFonts w:ascii="Times New Roman" w:hAnsi="Times New Roman"/>
          <w:noProof/>
          <w:sz w:val="28"/>
          <w:szCs w:val="28"/>
        </w:rPr>
        <w:t>Vai trò của nhà nước trong bối cảnh toàn cầu hóa</w:t>
      </w:r>
    </w:p>
    <w:p w:rsidR="001418D8" w:rsidRPr="00511C87" w:rsidRDefault="001418D8" w:rsidP="001418D8">
      <w:pPr>
        <w:numPr>
          <w:ilvl w:val="0"/>
          <w:numId w:val="9"/>
        </w:numPr>
        <w:tabs>
          <w:tab w:val="left" w:pos="426"/>
        </w:tabs>
        <w:spacing w:before="120" w:after="120" w:line="360" w:lineRule="auto"/>
        <w:ind w:left="0" w:firstLine="0"/>
        <w:jc w:val="both"/>
        <w:rPr>
          <w:rFonts w:ascii="Times New Roman" w:hAnsi="Times New Roman"/>
          <w:noProof/>
          <w:sz w:val="28"/>
          <w:szCs w:val="28"/>
        </w:rPr>
      </w:pPr>
      <w:r w:rsidRPr="00511C87">
        <w:rPr>
          <w:rFonts w:ascii="Times New Roman" w:hAnsi="Times New Roman"/>
          <w:noProof/>
          <w:sz w:val="28"/>
          <w:szCs w:val="28"/>
        </w:rPr>
        <w:t>Tiêu chí để đánh giá chế độ chính trị dân chủ trong các nhà nước hiện nay</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lastRenderedPageBreak/>
        <w:t xml:space="preserve"> Hình thức nhà nước – những vấn đề lý luận và thực tiễn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Chính thể quân chủ đại nghị</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Chính thể cộng hòa tổng thống</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Chính thể cộng hòa lưỡng hệ</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Chính thể cộng hòa đại nghị</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 xml:space="preserve"> Vai trò của pháp luật trong điều kiện xây dựng nhà nước pháp quyền Việt Nam</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Tìm hiểu về mối quan hệ giữa quyền lực và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Vai trò của hoạt động áp dụng pháp luật đối với sự phát triển của hệ thống pháp luật Việt Nam hiện nay</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Nguyên tắc quyền lực nhà nước là thống nhất với việc phân công, phối hợp, kiểm soát giữa các cơ quan nhà nước trong việc thực hiện quyền lực nhà nước ở Việt Nam hiện nay.</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Vị trí, vai trò của Đảng cộng sản Việt Nam trong việc tổ chức và thực hiện quyền lực nhà nước.</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Hiệu lực của văn bản quy phạm pháp luật – những vấn đề lý luận và thực tiễn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Tìm hiểu về văn hóa pháp lý và vai trò của nó trong đời sống xã hội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Các hệ thống pháp luật trên thế giới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Hình thức pháp luật – Những vấn đề lý luận và thực tiễn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Xây dựng nhà nước pháp quyền XHCN Việt Nam – Những vấn đề lý luận và thực tiễn</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Những phương thức hạn chế sự lạm dụng quyền lực nhà  nước – Lịch sử và hiện tại</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Tác động của toàn cầu hóa đối với nhà nước và pháp luật</w:t>
      </w:r>
    </w:p>
    <w:p w:rsidR="001418D8" w:rsidRPr="00511C87" w:rsidRDefault="001418D8" w:rsidP="001418D8">
      <w:pPr>
        <w:numPr>
          <w:ilvl w:val="0"/>
          <w:numId w:val="9"/>
        </w:numPr>
        <w:tabs>
          <w:tab w:val="left" w:pos="426"/>
        </w:tabs>
        <w:spacing w:before="120" w:after="120" w:line="360" w:lineRule="auto"/>
        <w:ind w:left="0" w:firstLine="0"/>
        <w:contextualSpacing/>
        <w:jc w:val="both"/>
        <w:rPr>
          <w:rFonts w:ascii="Times New Roman" w:hAnsi="Times New Roman"/>
          <w:sz w:val="28"/>
          <w:szCs w:val="28"/>
        </w:rPr>
      </w:pPr>
      <w:r w:rsidRPr="00511C87">
        <w:rPr>
          <w:rFonts w:ascii="Times New Roman" w:hAnsi="Times New Roman"/>
          <w:sz w:val="28"/>
          <w:szCs w:val="28"/>
        </w:rPr>
        <w:t>Nguyên tắc nhà nước pháp quyền</w:t>
      </w:r>
    </w:p>
    <w:p w:rsidR="001418D8" w:rsidRPr="00511C87" w:rsidRDefault="001418D8" w:rsidP="001418D8">
      <w:pPr>
        <w:tabs>
          <w:tab w:val="left" w:pos="426"/>
        </w:tabs>
        <w:spacing w:before="120" w:after="120" w:line="360" w:lineRule="auto"/>
        <w:rPr>
          <w:rFonts w:ascii="Times New Roman" w:hAnsi="Times New Roman"/>
          <w:bCs/>
          <w:iCs/>
          <w:sz w:val="28"/>
          <w:szCs w:val="28"/>
        </w:rPr>
      </w:pPr>
    </w:p>
    <w:p w:rsidR="001418D8" w:rsidRPr="00511C87" w:rsidRDefault="001418D8" w:rsidP="001418D8">
      <w:pPr>
        <w:tabs>
          <w:tab w:val="left" w:pos="426"/>
        </w:tabs>
        <w:spacing w:before="120" w:after="120" w:line="360" w:lineRule="auto"/>
        <w:jc w:val="both"/>
        <w:rPr>
          <w:rFonts w:ascii="Times New Roman" w:hAnsi="Times New Roman"/>
          <w:sz w:val="28"/>
          <w:szCs w:val="28"/>
        </w:rPr>
        <w:sectPr w:rsidR="001418D8" w:rsidRPr="00511C87" w:rsidSect="003E72D3">
          <w:type w:val="continuous"/>
          <w:pgSz w:w="11907" w:h="16839" w:code="9"/>
          <w:pgMar w:top="1440" w:right="1275" w:bottom="1440" w:left="1418" w:header="720" w:footer="720" w:gutter="0"/>
          <w:cols w:space="720"/>
          <w:docGrid w:linePitch="360"/>
        </w:sectPr>
      </w:pPr>
    </w:p>
    <w:p w:rsidR="001418D8" w:rsidRPr="00511C87" w:rsidRDefault="001418D8" w:rsidP="001418D8">
      <w:pPr>
        <w:tabs>
          <w:tab w:val="left" w:pos="284"/>
          <w:tab w:val="left" w:pos="426"/>
        </w:tabs>
        <w:spacing w:before="120" w:after="120" w:line="360" w:lineRule="auto"/>
        <w:jc w:val="center"/>
        <w:rPr>
          <w:rFonts w:ascii="Times New Roman" w:hAnsi="Times New Roman"/>
          <w:b/>
          <w:bCs/>
          <w:sz w:val="28"/>
          <w:szCs w:val="28"/>
        </w:rPr>
      </w:pPr>
      <w:r w:rsidRPr="00511C87">
        <w:rPr>
          <w:rFonts w:ascii="Times New Roman" w:hAnsi="Times New Roman"/>
          <w:b/>
          <w:bCs/>
          <w:sz w:val="28"/>
          <w:szCs w:val="28"/>
        </w:rPr>
        <w:lastRenderedPageBreak/>
        <w:t>MÔN LỊCH SỬ NHÀ NƯỚC VÀ PHÁP LUẬT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Sự ảnh hưởng của hệ tư tưởng đối với tổ chức bộ máy nhà nước Việt Nam thời phong kiến</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Chế định pháp luật thừa kế của Nhà nước phong kiến Việt Nam (thời Lê thế kỷ XV)</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Trách nhiệm dân sự trong pháp luật phong kiến Việt nam (thời Lê thế kỷ XV).</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Tính dân tộc của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Chính quyền địa phương của Nhà nước phong kiến Việt Nam qua các giai đoạn phát triển của lịch sử (nhà Lê thế kỷ XV, Nhà Nguyễn thế Kỷ XIX)</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Những giá trị pháp lý truyền thống cần kế thừa phát triển, những hạn chế cần nhận diện, phê phán, loại bỏ về tổ chức chính quyền của Nhà nước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Những giá trị pháp lý truyền thống cần kế thừa phát triển, những hạn chế cần nhận diện, phê phán, loại bỏ về pháp luật thời Lê sơ</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Những tình tiết tăng nặng, giảm nhẹ trách nhiệm hình sự trong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So sánh pháp luật hình sự thời Lê thế kỷ XV với pháp luật hình sự nhà Nguyễn thế kỷ XIX</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Chủ thể của tội phạm trong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Những tình tiết loại trừ tính chất nguy hiểm cho xã hội của hành vi trong pháp luạt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Pháp luật nhà Lê thế kỷ XV trong việc bảo vệ quyền lợi của trẻ em, người già, người tàn tật</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Cơ quan tố tụng, người tiến hành tố tụng và người tham gia tố tụng trong pháp luật phong kiết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So sánh luật Hồng Đức thời Lê thế kỷ XV với pháp Luật phong kiến Trung Quốc thời Minh</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Pháp luật nhà Lê thế kỷ XV trong việc phát triển kinh tế nông nghiệp</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Hình thức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Nguồn của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Nguồn của pháp luật phong kiến Việt Nam thời Lê sơ</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Nguồn của pháp luật phong kiến Việt Nam thời Nguyễn </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Cấu thành tội phạm của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Điều tra, xét hỏi, xử án, thi hành án trong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Chứng cứ  và chứng minh trong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Những biện pháp ngăn chặn trong luật tố tụng của pháp luật phong kiến Việt Nam</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So sánh pháp luật Hợp đồng của nhà nước thời Lê thế kỷ XV với thời Nguyễn thế kỷ XIX</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Pháp luật nhà Lê thế kỷ XV, nhà Nguyễn thế kỷ XIX về sở hữu đất đai</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Hoàng Việt luật lệ Nhũng giá trị cần kế thừa, những hạn chế cần loại bỏ</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Pháp luật nhà Nguyễn thế kỷ XIX trong việc bảo vệ quyền con người</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Giải thích pháp luật trong Hoàng việt luật lệ nhà Nguyễn thế kỷ XIX</w:t>
      </w:r>
    </w:p>
    <w:p w:rsidR="001418D8" w:rsidRPr="00511C87" w:rsidRDefault="001418D8" w:rsidP="001418D8">
      <w:pPr>
        <w:numPr>
          <w:ilvl w:val="0"/>
          <w:numId w:val="11"/>
        </w:numPr>
        <w:tabs>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Giải thích pháp luật của nhà Lê thế kỷ XV</w:t>
      </w:r>
    </w:p>
    <w:p w:rsidR="001418D8" w:rsidRPr="00511C87" w:rsidRDefault="001418D8" w:rsidP="001418D8">
      <w:pPr>
        <w:tabs>
          <w:tab w:val="left" w:pos="284"/>
          <w:tab w:val="left" w:pos="426"/>
        </w:tabs>
        <w:spacing w:before="120" w:after="120" w:line="360" w:lineRule="auto"/>
        <w:jc w:val="both"/>
        <w:rPr>
          <w:rFonts w:ascii="Times New Roman" w:hAnsi="Times New Roman"/>
          <w:b/>
          <w:sz w:val="28"/>
          <w:szCs w:val="28"/>
        </w:rPr>
      </w:pPr>
      <w:r w:rsidRPr="00511C87">
        <w:rPr>
          <w:rFonts w:ascii="Times New Roman" w:hAnsi="Times New Roman"/>
          <w:b/>
          <w:sz w:val="28"/>
          <w:szCs w:val="28"/>
        </w:rPr>
        <w:t>Môn Lịch sử nhà nước và pháp luật thế giới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Ảnh hưởng của điều kiện tự nhiên đối với sự hình thành nhà nước phương Đông cổ đại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Hình thức nhà nước ở các quốc gia phương Đông cổ đại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Ảnh hưởng của tư tưởng tôn giáo đối với nhà nước, pháp luật ở các quốc gia phương  Đông cổ đại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Nho giáo với việc tổ chức và thực thi quyền lực nhà nước của nhà nước phong kiến Trung Quốc</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Ảnh hưởng của Nho giáo đối với pháp luật phong kiến Trung Quốc</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Pháp luật hình sự của nhà nước phong kiến Trung Quốc (thời Đường, thời Minh, thời Thanh)</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Quá trình hình thành nhà nước Tư sản</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Lịch sử hình thành và phát triển của học thuyết phân chia quyền lực</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Hiến pháp Tư sản – quá trình hình thành và phát triển (Mỹ, Nhật…)</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Phân tầng xã hội đối với sự hình thành và phát triển của nhà nước và pháp luật qua các giai đoạn lịch sử cụ thể</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Thể chế chính trị Quân chủ (Anh, Nhật Bản, Liên bang Ôtrâylia: điều kiện tự nhiên, dân cư, thể chế chế chính trị, bộ máy nhà nước….)</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Thể chế cộng hòa ( Mỹ, Liên bang Nga, CH Liên bang Đức, Pháp, CH nhân dân Trung Hoa)</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Thể chế các nước ASEAN</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So sánh pháp luật nhà Thanh Trung Quốc với pháp luật nhà Nguyễn Việt Nam, thế kỷ XIX</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 xml:space="preserve"> Lịch sử hình thành và phát triển của Học thuyết nhà nước pháp quyền.</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lastRenderedPageBreak/>
        <w:t>Đặc diểm cơ bản của pháp luật Liên minh châu Âu (EU)</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Đặc diểm cơ bản của pháp luật phong kiến</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Đặc diểm cơ bản của pháp luật Tư sản</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Nho giáo với việc tổ chức và thực thi quyền lực nhà nước ở các quốc gia phong kiến phương Đông</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Dân chủ đại diện dưới góc nhìn lịch sử thế giới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Chính thể quân chủ hạn chế - lịch sử và hiện đại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Hành trình quyền con người trong lịch sử lập pháp nhân loại.</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Sự phân tầng xã hội và ảnh hưởng của nó đối với việc tổ chức quyền lực nhà nước – những vấn đề lịch sử</w:t>
      </w:r>
    </w:p>
    <w:p w:rsidR="001418D8"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Pháp luật dân sự La Mã – những giá trị cần kế thừa đối với việc hoàn thiện pháp luật dân sự Việt Nam hiện nay</w:t>
      </w:r>
    </w:p>
    <w:p w:rsidR="00D316B5" w:rsidRPr="00511C87" w:rsidRDefault="001418D8" w:rsidP="001418D8">
      <w:pPr>
        <w:numPr>
          <w:ilvl w:val="0"/>
          <w:numId w:val="10"/>
        </w:numPr>
        <w:tabs>
          <w:tab w:val="clear" w:pos="720"/>
          <w:tab w:val="left" w:pos="284"/>
          <w:tab w:val="left" w:pos="426"/>
        </w:tabs>
        <w:spacing w:before="120" w:after="120" w:line="360" w:lineRule="auto"/>
        <w:ind w:left="0" w:firstLine="0"/>
        <w:jc w:val="both"/>
        <w:rPr>
          <w:rFonts w:ascii="Times New Roman" w:hAnsi="Times New Roman"/>
          <w:sz w:val="28"/>
          <w:szCs w:val="28"/>
        </w:rPr>
      </w:pPr>
      <w:r w:rsidRPr="00511C87">
        <w:rPr>
          <w:rFonts w:ascii="Times New Roman" w:hAnsi="Times New Roman"/>
          <w:sz w:val="28"/>
          <w:szCs w:val="28"/>
        </w:rPr>
        <w:t>Giá trị lịch sử của pháp luật hợp đồng của nhà nước tư sản</w:t>
      </w:r>
    </w:p>
    <w:sectPr w:rsidR="00D316B5" w:rsidRPr="00511C87" w:rsidSect="001418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4A9" w:rsidRDefault="00A774A9" w:rsidP="00511C87">
      <w:pPr>
        <w:spacing w:after="0" w:line="240" w:lineRule="auto"/>
      </w:pPr>
      <w:r>
        <w:separator/>
      </w:r>
    </w:p>
  </w:endnote>
  <w:endnote w:type="continuationSeparator" w:id="1">
    <w:p w:rsidR="00A774A9" w:rsidRDefault="00A774A9" w:rsidP="00511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5650"/>
      <w:docPartObj>
        <w:docPartGallery w:val="Page Numbers (Bottom of Page)"/>
        <w:docPartUnique/>
      </w:docPartObj>
    </w:sdtPr>
    <w:sdtContent>
      <w:p w:rsidR="00511C87" w:rsidRDefault="00511C87">
        <w:pPr>
          <w:pStyle w:val="Footer"/>
          <w:jc w:val="center"/>
        </w:pPr>
        <w:fldSimple w:instr=" PAGE   \* MERGEFORMAT ">
          <w:r>
            <w:rPr>
              <w:noProof/>
            </w:rPr>
            <w:t>148</w:t>
          </w:r>
        </w:fldSimple>
      </w:p>
    </w:sdtContent>
  </w:sdt>
  <w:p w:rsidR="00511C87" w:rsidRDefault="00511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4A9" w:rsidRDefault="00A774A9" w:rsidP="00511C87">
      <w:pPr>
        <w:spacing w:after="0" w:line="240" w:lineRule="auto"/>
      </w:pPr>
      <w:r>
        <w:separator/>
      </w:r>
    </w:p>
  </w:footnote>
  <w:footnote w:type="continuationSeparator" w:id="1">
    <w:p w:rsidR="00A774A9" w:rsidRDefault="00A774A9" w:rsidP="00511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3A3"/>
    <w:multiLevelType w:val="hybridMultilevel"/>
    <w:tmpl w:val="0AC0B316"/>
    <w:lvl w:ilvl="0" w:tplc="B3E84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BE6EC3"/>
    <w:multiLevelType w:val="hybridMultilevel"/>
    <w:tmpl w:val="D2C67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F4F13"/>
    <w:multiLevelType w:val="hybridMultilevel"/>
    <w:tmpl w:val="DC1805B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6D7F"/>
    <w:multiLevelType w:val="hybridMultilevel"/>
    <w:tmpl w:val="C05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04C4D"/>
    <w:multiLevelType w:val="hybridMultilevel"/>
    <w:tmpl w:val="ACD05088"/>
    <w:lvl w:ilvl="0" w:tplc="B3E84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4248FE"/>
    <w:multiLevelType w:val="hybridMultilevel"/>
    <w:tmpl w:val="F15CF69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02199"/>
    <w:multiLevelType w:val="hybridMultilevel"/>
    <w:tmpl w:val="44E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726A3"/>
    <w:multiLevelType w:val="hybridMultilevel"/>
    <w:tmpl w:val="EC365B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A21B72"/>
    <w:multiLevelType w:val="hybridMultilevel"/>
    <w:tmpl w:val="A85EAD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D1120E"/>
    <w:multiLevelType w:val="multilevel"/>
    <w:tmpl w:val="35AEDA00"/>
    <w:lvl w:ilvl="0">
      <w:start w:val="1"/>
      <w:numFmt w:val="decimal"/>
      <w:pStyle w:val="ListNumber"/>
      <w:lvlText w:val="%1)"/>
      <w:lvlJc w:val="left"/>
      <w:pPr>
        <w:tabs>
          <w:tab w:val="num" w:pos="357"/>
        </w:tabs>
        <w:ind w:left="357" w:hanging="357"/>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6E1B435C"/>
    <w:multiLevelType w:val="hybridMultilevel"/>
    <w:tmpl w:val="AACE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6240"/>
    <w:rsid w:val="000B40F0"/>
    <w:rsid w:val="000F6240"/>
    <w:rsid w:val="001418D8"/>
    <w:rsid w:val="00511C87"/>
    <w:rsid w:val="0072437D"/>
    <w:rsid w:val="007406BA"/>
    <w:rsid w:val="008D7D47"/>
    <w:rsid w:val="009430C9"/>
    <w:rsid w:val="00A774A9"/>
    <w:rsid w:val="00C11BB9"/>
    <w:rsid w:val="00CF023A"/>
    <w:rsid w:val="00D31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40"/>
    <w:pPr>
      <w:ind w:left="720"/>
      <w:contextualSpacing/>
    </w:pPr>
  </w:style>
  <w:style w:type="paragraph" w:styleId="ListNumber">
    <w:name w:val="List Number"/>
    <w:basedOn w:val="Normal"/>
    <w:rsid w:val="001418D8"/>
    <w:pPr>
      <w:numPr>
        <w:numId w:val="8"/>
      </w:numPr>
      <w:spacing w:before="60" w:after="0" w:line="312" w:lineRule="auto"/>
      <w:jc w:val="both"/>
    </w:pPr>
    <w:rPr>
      <w:rFonts w:ascii="Times New Roman" w:eastAsia="Times New Roman" w:hAnsi="Times New Roman"/>
      <w:noProof/>
      <w:sz w:val="26"/>
      <w:szCs w:val="26"/>
    </w:rPr>
  </w:style>
  <w:style w:type="paragraph" w:styleId="Header">
    <w:name w:val="header"/>
    <w:basedOn w:val="Normal"/>
    <w:link w:val="HeaderChar"/>
    <w:uiPriority w:val="99"/>
    <w:semiHidden/>
    <w:unhideWhenUsed/>
    <w:rsid w:val="00511C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1C87"/>
    <w:rPr>
      <w:rFonts w:ascii="Calibri" w:eastAsia="Calibri" w:hAnsi="Calibri" w:cs="Times New Roman"/>
    </w:rPr>
  </w:style>
  <w:style w:type="paragraph" w:styleId="Footer">
    <w:name w:val="footer"/>
    <w:basedOn w:val="Normal"/>
    <w:link w:val="FooterChar"/>
    <w:uiPriority w:val="99"/>
    <w:unhideWhenUsed/>
    <w:rsid w:val="0051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C8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3347</Words>
  <Characters>19081</Characters>
  <Application>Microsoft Office Word</Application>
  <DocSecurity>0</DocSecurity>
  <Lines>159</Lines>
  <Paragraphs>44</Paragraphs>
  <ScaleCrop>false</ScaleCrop>
  <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2020-10-07T08:09:00Z</dcterms:created>
  <dcterms:modified xsi:type="dcterms:W3CDTF">2020-10-07T08:09:00Z</dcterms:modified>
</cp:coreProperties>
</file>